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DE5EF7">
      <w:pPr>
        <w:widowControl/>
        <w:spacing w:after="0" w:line="276" w:lineRule="auto"/>
        <w:jc w:val="left"/>
        <w:rPr>
          <w:rFonts w:hint="eastAsia"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</w:p>
    <w:p w14:paraId="3045221C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bookmarkStart w:id="0" w:name="_GoBack"/>
      <w:r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wzc-sw-010:</w:t>
      </w: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t>草乌</w:t>
      </w:r>
    </w:p>
    <w:bookmarkEnd w:id="0"/>
    <w:p w14:paraId="3F9559DD">
      <w:pPr>
        <w:widowControl/>
        <w:spacing w:after="0" w:line="24" w:lineRule="atLeast"/>
        <w:ind w:firstLine="482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u w:val="none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u w:val="none"/>
          <w:lang w:eastAsia="zh-CN"/>
          <w14:ligatures w14:val="none"/>
        </w:rPr>
        <w:t>1. 基本信息</w:t>
      </w:r>
    </w:p>
    <w:p w14:paraId="34F778EA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u w:val="none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u w:val="none"/>
          <w:lang w:eastAsia="zh-CN"/>
          <w14:ligatures w14:val="none"/>
        </w:rPr>
        <w:t>学名：</w:t>
      </w:r>
      <w:r>
        <w:rPr>
          <w:rFonts w:ascii="宋体" w:hAnsi="宋体" w:eastAsia="宋体" w:cs="Times New Roman"/>
          <w:i/>
          <w:iCs/>
          <w:kern w:val="0"/>
          <w:sz w:val="24"/>
          <w:szCs w:val="24"/>
          <w:u w:val="none"/>
          <w:lang w:eastAsia="zh-CN"/>
          <w14:ligatures w14:val="none"/>
        </w:rPr>
        <w:t>Aconitum kusnezoffii</w:t>
      </w:r>
      <w:r>
        <w:rPr>
          <w:rFonts w:ascii="宋体" w:hAnsi="宋体" w:eastAsia="宋体" w:cs="Times New Roman"/>
          <w:kern w:val="0"/>
          <w:sz w:val="24"/>
          <w:szCs w:val="24"/>
          <w:u w:val="none"/>
          <w:lang w:eastAsia="zh-CN"/>
          <w14:ligatures w14:val="none"/>
        </w:rPr>
        <w:t>（毛茛科、乌头属）</w:t>
      </w:r>
    </w:p>
    <w:p w14:paraId="08C331FD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u w:val="none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u w:val="none"/>
          <w:lang w:eastAsia="zh-CN"/>
          <w14:ligatures w14:val="none"/>
        </w:rPr>
        <w:t>中文名：草乌</w:t>
      </w:r>
    </w:p>
    <w:p w14:paraId="2B157E86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界：植物界</w:t>
      </w:r>
    </w:p>
    <w:p w14:paraId="15D83677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门：被子植物门</w:t>
      </w:r>
    </w:p>
    <w:p w14:paraId="3C0B2C45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纲：木兰纲</w:t>
      </w:r>
    </w:p>
    <w:p w14:paraId="7EC43736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目：毛茛目</w:t>
      </w:r>
    </w:p>
    <w:p w14:paraId="01C54068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科：毛茛科</w:t>
      </w:r>
    </w:p>
    <w:p w14:paraId="282E5ACA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属：乌头属</w:t>
      </w:r>
    </w:p>
    <w:p w14:paraId="3FF6B740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俗称：北乌头、鸡头草、鸭头、药羊蒿</w:t>
      </w:r>
    </w:p>
    <w:p w14:paraId="5DBA561F">
      <w:pPr>
        <w:widowControl/>
        <w:spacing w:after="0" w:line="24" w:lineRule="atLeast"/>
        <w:ind w:firstLine="480" w:firstLineChars="200"/>
        <w:jc w:val="left"/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保护级别：国际濒危等级：CITES附录Ⅱ（限制贸易）</w:t>
      </w:r>
      <w:r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；</w:t>
      </w: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中国保护等级：国家二级重点保护野生植物</w:t>
      </w:r>
    </w:p>
    <w:p w14:paraId="7388FB14">
      <w:pPr>
        <w:widowControl/>
        <w:spacing w:after="0" w:line="24" w:lineRule="atLeast"/>
        <w:ind w:firstLine="482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t>2. 形态特征</w:t>
      </w:r>
    </w:p>
    <w:p w14:paraId="33BEFB91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叶：掌状3深裂，裂片再羽状分裂，边缘具粗锯齿；叶面深绿色，叶背灰绿色，两面无毛。</w:t>
      </w:r>
    </w:p>
    <w:p w14:paraId="1064DE14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花：总状花序顶生，花萼蓝紫色，盔瓣盔形，侧瓣近圆形；花期7-9月。</w:t>
      </w:r>
    </w:p>
    <w:p w14:paraId="24A2BD35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果实：蓇葖果，长1–2厘米，内含多数黑色种子。</w:t>
      </w:r>
    </w:p>
    <w:p w14:paraId="01D234D6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茎干：直立草本，高80–150厘米，无毛或上部疏被短柔毛。</w:t>
      </w:r>
    </w:p>
    <w:p w14:paraId="4ADA9BE4">
      <w:pPr>
        <w:widowControl/>
        <w:spacing w:after="0" w:line="24" w:lineRule="atLeast"/>
        <w:ind w:firstLine="480" w:firstLineChars="200"/>
        <w:jc w:val="left"/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根：块根圆锥形或胡萝卜形，长2–5厘米，表面黑褐色，断面白色粉质（剧毒！）。</w:t>
      </w:r>
    </w:p>
    <w:p w14:paraId="7CD6F958">
      <w:pPr>
        <w:widowControl/>
        <w:spacing w:after="0" w:line="24" w:lineRule="atLeast"/>
        <w:ind w:firstLine="482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t>3. 生活习性</w:t>
      </w:r>
    </w:p>
    <w:p w14:paraId="37C0C424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气候需求：温度：耐寒性强，适宜生长温度10–22℃，夏季高温休眠。</w:t>
      </w:r>
    </w:p>
    <w:p w14:paraId="7C1E588D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降水：年降水量需800–1500毫米，喜湿润环境，忌干旱。</w:t>
      </w:r>
    </w:p>
    <w:p w14:paraId="2CDD643F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土壤偏好：喜深厚肥沃、排水良好的沙质壤土或腐殖土，pH 5.5–7.0；常见于山坡草地、林缘溪边。</w:t>
      </w:r>
    </w:p>
    <w:p w14:paraId="73291ADE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光照需求：半阴性植物，喜散射光，强光直射易导致叶片灼伤。</w:t>
      </w:r>
    </w:p>
    <w:p w14:paraId="0F211709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生长周期：幼苗期：春季萌发，生长缓慢；</w:t>
      </w:r>
    </w:p>
    <w:p w14:paraId="4D9D6983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成年期：2–3年后开花结实；</w:t>
      </w:r>
    </w:p>
    <w:p w14:paraId="54A24878">
      <w:pPr>
        <w:widowControl/>
        <w:spacing w:after="0" w:line="24" w:lineRule="atLeast"/>
        <w:ind w:firstLine="480" w:firstLineChars="200"/>
        <w:jc w:val="left"/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休眠期：地上部分夏季枯萎，地下块根越冬。</w:t>
      </w:r>
    </w:p>
    <w:p w14:paraId="76658420">
      <w:pPr>
        <w:widowControl/>
        <w:spacing w:after="0" w:line="24" w:lineRule="atLeast"/>
        <w:ind w:firstLine="482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t>4. 价值</w:t>
      </w:r>
    </w:p>
    <w:p w14:paraId="604B1AB8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经济价值：块根为传统中药材（需炮制减毒），用于风湿痹痛、跌打损伤；全株有毒，严禁直接食用。</w:t>
      </w:r>
    </w:p>
    <w:p w14:paraId="7C13C5C6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生态价值：保持山地水土，为传粉昆虫（如熊蜂）提供蜜源；林缘关键草本物种。</w:t>
      </w:r>
    </w:p>
    <w:p w14:paraId="718BFF03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文化价值：中医“回阳救逆”要药，常见于古籍（如《本草纲目》）；民间用于外敷药酒，但需严格管控。</w:t>
      </w:r>
    </w:p>
    <w:p w14:paraId="3449CE48">
      <w:pPr>
        <w:widowControl/>
        <w:spacing w:after="0" w:line="24" w:lineRule="atLeast"/>
        <w:ind w:firstLine="480" w:firstLineChars="200"/>
        <w:jc w:val="left"/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药用价值：含乌头碱、次乌头碱等生物碱，具镇痛、抗炎作用；剧毒！ 须专业炮制后使用，误食可致命。</w:t>
      </w:r>
    </w:p>
    <w:p w14:paraId="7236E139">
      <w:pPr>
        <w:widowControl/>
        <w:spacing w:after="0" w:line="24" w:lineRule="atLeast"/>
        <w:ind w:firstLine="482" w:firstLineChars="200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t>5. 分布范围</w:t>
      </w:r>
    </w:p>
    <w:p w14:paraId="5B8DC2DD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全球分布：东亚温带至寒温带，包括中国、俄罗斯（西伯利亚）、朝鲜、蒙古。</w:t>
      </w:r>
    </w:p>
    <w:p w14:paraId="21FC6399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中国分布：东北地区：黑龙江、吉林、辽宁（长白山区为主）；</w:t>
      </w:r>
    </w:p>
    <w:p w14:paraId="3AD89261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华北地区：河北、山西、内蒙古（阴山山脉）；</w:t>
      </w:r>
    </w:p>
    <w:p w14:paraId="04D8AE9A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西北地区：陕西、甘肃（秦岭山地）；</w:t>
      </w:r>
    </w:p>
    <w:p w14:paraId="2CAE0E92">
      <w:pPr>
        <w:widowControl/>
        <w:spacing w:after="0" w:line="24" w:lineRule="atLeast"/>
        <w:ind w:firstLine="480" w:firstLineChars="200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  <w:t>西南地区：四川、云南（海拔2500–3500米高山草甸）。</w:t>
      </w:r>
    </w:p>
    <w:p w14:paraId="5EF49A65">
      <w:pPr>
        <w:widowControl/>
        <w:spacing w:after="0" w:line="24" w:lineRule="atLeast"/>
        <w:jc w:val="left"/>
        <w:rPr>
          <w:rFonts w:hint="eastAsia"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</w:p>
    <w:p w14:paraId="403D7BBF">
      <w:pPr>
        <w:widowControl/>
        <w:spacing w:after="0" w:line="276" w:lineRule="auto"/>
        <w:jc w:val="center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drawing>
          <wp:inline distT="0" distB="0" distL="0" distR="0">
            <wp:extent cx="4774565" cy="3011805"/>
            <wp:effectExtent l="0" t="0" r="6985" b="17145"/>
            <wp:docPr id="7288406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84060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2568" cy="30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D9BCE">
      <w:pPr>
        <w:widowControl/>
        <w:spacing w:after="0" w:line="276" w:lineRule="auto"/>
        <w:jc w:val="center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drawing>
          <wp:inline distT="0" distB="0" distL="0" distR="0">
            <wp:extent cx="4530090" cy="3143250"/>
            <wp:effectExtent l="0" t="0" r="3810" b="0"/>
            <wp:docPr id="11537830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78304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5893" cy="315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174">
      <w:pPr>
        <w:widowControl/>
        <w:spacing w:after="0" w:line="276" w:lineRule="auto"/>
        <w:jc w:val="left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</w:p>
    <w:p w14:paraId="41398996">
      <w:pPr>
        <w:widowControl/>
        <w:spacing w:after="0" w:line="276" w:lineRule="auto"/>
        <w:jc w:val="center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</w:p>
    <w:p w14:paraId="70B03F87">
      <w:pPr>
        <w:widowControl/>
        <w:spacing w:after="0" w:line="276" w:lineRule="auto"/>
        <w:jc w:val="center"/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</w:p>
    <w:p w14:paraId="257A3EBB">
      <w:pPr>
        <w:widowControl/>
        <w:spacing w:after="0" w:line="276" w:lineRule="auto"/>
        <w:jc w:val="center"/>
        <w:rPr>
          <w:rFonts w:hint="eastAsia"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</w:pPr>
      <w:r>
        <w:rPr>
          <w:rFonts w:ascii="宋体" w:hAnsi="宋体" w:eastAsia="宋体" w:cs="Times New Roman"/>
          <w:b/>
          <w:bCs/>
          <w:kern w:val="0"/>
          <w:sz w:val="24"/>
          <w:szCs w:val="24"/>
          <w:lang w:eastAsia="zh-CN"/>
          <w14:ligatures w14:val="none"/>
        </w:rPr>
        <w:drawing>
          <wp:inline distT="0" distB="0" distL="0" distR="0">
            <wp:extent cx="4729480" cy="3643630"/>
            <wp:effectExtent l="0" t="0" r="13970" b="13970"/>
            <wp:docPr id="11085305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53053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t="17674" b="33304"/>
                    <a:stretch>
                      <a:fillRect/>
                    </a:stretch>
                  </pic:blipFill>
                  <pic:spPr>
                    <a:xfrm>
                      <a:off x="0" y="0"/>
                      <a:ext cx="4729480" cy="364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A7CAF">
      <w:pPr>
        <w:widowControl/>
        <w:spacing w:after="0" w:line="276" w:lineRule="auto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</w:p>
    <w:p w14:paraId="21B974D4">
      <w:pPr>
        <w:widowControl/>
        <w:spacing w:after="0" w:line="276" w:lineRule="auto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</w:p>
    <w:p w14:paraId="6258B982">
      <w:pPr>
        <w:widowControl/>
        <w:spacing w:after="0" w:line="276" w:lineRule="auto"/>
        <w:jc w:val="left"/>
        <w:rPr>
          <w:rFonts w:ascii="宋体" w:hAnsi="宋体" w:eastAsia="宋体" w:cs="Times New Roman"/>
          <w:kern w:val="0"/>
          <w:sz w:val="24"/>
          <w:szCs w:val="24"/>
          <w:lang w:eastAsia="zh-CN"/>
          <w14:ligatures w14:val="none"/>
        </w:rPr>
      </w:pPr>
    </w:p>
    <w:p w14:paraId="3B11FE3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4730F6"/>
    <w:rsid w:val="73473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2025-12-25T08:20:00Z</dcterms:created>
  <dc:creator>Dr喵</dc:creator>
  <cp:lastModifiedBy>Dr喵</cp:lastModifiedBy>
  <dcterms:modified xsi:type="dcterms:W3CDTF">2025-12-25T08:21:22Z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5E930988B91A47E398A807C3E532895F_11</vt:lpwstr>
  </property>
  <property fmtid="{D5CDD505-2E9C-101B-9397-08002B2CF9AE}" pid="4" name="KSOTemplateDocerSaveRecord">
    <vt:lpwstr>eyJoZGlkIjoiYzc2OWYxMmFlNmFjMjIxMTdmN2NiZmY5NmY2Mzg3ODkiLCJ1c2VySWQiOiI1NjAwNjE3MjgifQ==</vt:lpwstr>
  </property>
</Properties>
</file>